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rPr>
          <w:i w:val="1"/>
        </w:rPr>
      </w:pPr>
      <w:bookmarkStart w:colFirst="0" w:colLast="0" w:name="_n13o7ar4l62w" w:id="0"/>
      <w:bookmarkEnd w:id="0"/>
      <w:r w:rsidDel="00000000" w:rsidR="00000000" w:rsidRPr="00000000">
        <w:rPr>
          <w:rtl w:val="0"/>
        </w:rPr>
        <w:t xml:space="preserve">Lösungen zum </w:t>
      </w:r>
      <w:hyperlink r:id="rId6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Arbeitsblatt Offene Kulturdaten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1. Warum ist es sinnvoll, dass Kultureinrichtungen ihre Bestände als offene Daten der Allgemeinheit zur Verfügung stellen?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Digitalisierung kann helfen, den Zugang zu Kulturgütern und Wissen zu ermöglichen, zu sichern und so die kulturelle und wissenschaftliche Teilhabe für alle Menschen zu verbessern.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2. Bedeutung des Akronyms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666666"/>
          <w:sz w:val="24"/>
          <w:szCs w:val="24"/>
          <w:rtl w:val="0"/>
        </w:rPr>
        <w:t xml:space="preserve">„GLAM”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GLAM steht für die Kulturinstitutionen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G</w:t>
      </w:r>
      <w:r w:rsidDel="00000000" w:rsidR="00000000" w:rsidRPr="00000000">
        <w:rPr>
          <w:rtl w:val="0"/>
        </w:rPr>
        <w:t xml:space="preserve">alleries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L</w:t>
      </w:r>
      <w:r w:rsidDel="00000000" w:rsidR="00000000" w:rsidRPr="00000000">
        <w:rPr>
          <w:rtl w:val="0"/>
        </w:rPr>
        <w:t xml:space="preserve">ibraries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A</w:t>
      </w:r>
      <w:r w:rsidDel="00000000" w:rsidR="00000000" w:rsidRPr="00000000">
        <w:rPr>
          <w:rtl w:val="0"/>
        </w:rPr>
        <w:t xml:space="preserve">rchives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M</w:t>
      </w:r>
      <w:r w:rsidDel="00000000" w:rsidR="00000000" w:rsidRPr="00000000">
        <w:rPr>
          <w:rtl w:val="0"/>
        </w:rPr>
        <w:t xml:space="preserve">useums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3 Wodurch profitieren Bürger und Kultureinrichtungen gleichermaßen davon, dass Kulturdaten offen zur Verfügung gestellt werden?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Neuer Zugang zu Kulturgütern durch die digitale Bereitstellung; Ermöglichung neuer Formen kultureller Bildung und Teilhabe durch die Bürger.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Kultureinrichtungen erhalten durch die Öffnung ihrer Bestände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Dialog mit Bürgern und anderen Einrichtungen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Neue Formen der Präsentation von Beständen ist möglich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4 Nenne drei Anbieter offener Kulturdaten</w:t>
      </w:r>
    </w:p>
    <w:p w:rsidR="00000000" w:rsidDel="00000000" w:rsidP="00000000" w:rsidRDefault="00000000" w:rsidRPr="00000000" w14:paraId="00000017">
      <w:pPr>
        <w:rPr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Siehe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Liste</w:t>
        </w:r>
      </w:hyperlink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tl w:val="0"/>
        </w:rPr>
        <w:t xml:space="preserve"> z.B. Coding da Vinci, Europeana, Rijksmuseum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first"/>
      <w:pgSz w:h="16838" w:w="11906" w:orient="portrait"/>
      <w:pgMar w:bottom="1440.0000000000002" w:top="1440.0000000000002" w:left="1440.0000000000002" w:right="1440.0000000000002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spacing w:line="300" w:lineRule="auto"/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Das Projekt Remember Me! wird gefördert durch</w:t>
    </w:r>
  </w:p>
  <w:p w:rsidR="00000000" w:rsidDel="00000000" w:rsidP="00000000" w:rsidRDefault="00000000" w:rsidRPr="00000000" w14:paraId="0000001C">
    <w:pPr>
      <w:spacing w:line="300" w:lineRule="auto"/>
      <w:jc w:val="center"/>
      <w:rPr>
        <w:sz w:val="8"/>
        <w:szCs w:val="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spacing w:line="300" w:lineRule="auto"/>
      <w:jc w:val="center"/>
      <w:rPr>
        <w:sz w:val="24"/>
        <w:szCs w:val="24"/>
      </w:rPr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1004888" cy="280434"/>
          <wp:effectExtent b="0" l="0" r="0" t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04888" cy="28043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24"/>
        <w:szCs w:val="24"/>
        <w:rtl w:val="0"/>
      </w:rPr>
      <w:t xml:space="preserve">      </w:t>
    </w: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741409" cy="615788"/>
          <wp:effectExtent b="0" l="0" r="0" t="0"/>
          <wp:docPr id="4" name="image6.jpg"/>
          <a:graphic>
            <a:graphicData uri="http://schemas.openxmlformats.org/drawingml/2006/picture">
              <pic:pic>
                <pic:nvPicPr>
                  <pic:cNvPr id="0" name="image6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1409" cy="6157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24"/>
        <w:szCs w:val="24"/>
        <w:rtl w:val="0"/>
      </w:rPr>
      <w:t xml:space="preserve">      </w:t>
    </w: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1533071" cy="190500"/>
          <wp:effectExtent b="0" l="0" r="0" t="0"/>
          <wp:docPr id="5" name="image5.jpg"/>
          <a:graphic>
            <a:graphicData uri="http://schemas.openxmlformats.org/drawingml/2006/picture">
              <pic:pic>
                <pic:nvPicPr>
                  <pic:cNvPr id="0" name="image5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33071" cy="190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24"/>
        <w:szCs w:val="24"/>
        <w:rtl w:val="0"/>
      </w:rPr>
      <w:t xml:space="preserve">      </w:t>
    </w: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901819" cy="260767"/>
          <wp:effectExtent b="0" l="0" r="0" t="0"/>
          <wp:docPr id="1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01819" cy="26076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spacing w:line="300" w:lineRule="auto"/>
      <w:jc w:val="center"/>
      <w:rPr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spacing w:line="300" w:lineRule="auto"/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Die Remember Me! - Materialien sind lizenziert unter einer</w:t>
    </w:r>
    <w:hyperlink r:id="rId5">
      <w:r w:rsidDel="00000000" w:rsidR="00000000" w:rsidRPr="00000000">
        <w:rPr>
          <w:sz w:val="18"/>
          <w:szCs w:val="18"/>
          <w:rtl w:val="0"/>
        </w:rPr>
        <w:t xml:space="preserve"> 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spacing w:line="300" w:lineRule="auto"/>
      <w:jc w:val="center"/>
      <w:rPr>
        <w:sz w:val="18"/>
        <w:szCs w:val="18"/>
      </w:rPr>
    </w:pPr>
    <w:hyperlink r:id="rId6">
      <w:r w:rsidDel="00000000" w:rsidR="00000000" w:rsidRPr="00000000">
        <w:rPr>
          <w:color w:val="1155cc"/>
          <w:sz w:val="18"/>
          <w:szCs w:val="18"/>
          <w:u w:val="single"/>
          <w:rtl w:val="0"/>
        </w:rPr>
        <w:t xml:space="preserve">Creative Commons Namensnennung 4.0 International Lizenz</w:t>
      </w:r>
    </w:hyperlink>
    <w:r w:rsidDel="00000000" w:rsidR="00000000" w:rsidRPr="00000000">
      <w:rPr>
        <w:sz w:val="18"/>
        <w:szCs w:val="18"/>
        <w:rtl w:val="0"/>
      </w:rPr>
      <w:t xml:space="preserve">.</w:t>
    </w:r>
  </w:p>
  <w:p w:rsidR="00000000" w:rsidDel="00000000" w:rsidP="00000000" w:rsidRDefault="00000000" w:rsidRPr="00000000" w14:paraId="00000021">
    <w:pPr>
      <w:spacing w:line="300" w:lineRule="auto"/>
      <w:jc w:val="center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15775" cy="219075"/>
          <wp:effectExtent b="0" l="0" r="0" t="0"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7"/>
                  <a:srcRect b="0" l="0" r="17955" t="0"/>
                  <a:stretch>
                    <a:fillRect/>
                  </a:stretch>
                </pic:blipFill>
                <pic:spPr>
                  <a:xfrm>
                    <a:off x="0" y="0"/>
                    <a:ext cx="515775" cy="219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spacing w:line="300" w:lineRule="auto"/>
      <w:jc w:val="center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3801900" cy="546209"/>
          <wp:effectExtent b="0" l="0" r="0" t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801900" cy="54620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wmUsfrsyTpnHKlQgIAORctDE6Wkql71e8oML8mQqJn0/edit?usp=sharing" TargetMode="External"/><Relationship Id="rId7" Type="http://schemas.openxmlformats.org/officeDocument/2006/relationships/hyperlink" Target="https://docs.google.com/document/d/1OGwbB4Gk2T9tRz4BOqiOei7C68z7YVdJ0qCCaH-IyAE/edit?usp=sharing" TargetMode="Externa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6.jpg"/><Relationship Id="rId3" Type="http://schemas.openxmlformats.org/officeDocument/2006/relationships/image" Target="media/image5.jpg"/><Relationship Id="rId4" Type="http://schemas.openxmlformats.org/officeDocument/2006/relationships/image" Target="media/image4.png"/><Relationship Id="rId5" Type="http://schemas.openxmlformats.org/officeDocument/2006/relationships/hyperlink" Target="http://creativecommons.org/licenses/by/4.0/" TargetMode="External"/><Relationship Id="rId6" Type="http://schemas.openxmlformats.org/officeDocument/2006/relationships/hyperlink" Target="http://creativecommons.org/licenses/by/4.0/" TargetMode="External"/><Relationship Id="rId7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